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D90" w:rsidRPr="00BF3655" w:rsidRDefault="006A0D90" w:rsidP="006A0D90">
      <w:pPr>
        <w:jc w:val="both"/>
        <w:rPr>
          <w:rFonts w:ascii="Times New Roman" w:hAnsi="Times New Roman" w:cs="Times New Roman"/>
          <w:sz w:val="28"/>
          <w:szCs w:val="28"/>
        </w:rPr>
      </w:pPr>
      <w:r w:rsidRPr="00BF3655">
        <w:rPr>
          <w:rFonts w:ascii="Times New Roman" w:hAnsi="Times New Roman" w:cs="Times New Roman"/>
          <w:sz w:val="28"/>
          <w:szCs w:val="28"/>
        </w:rPr>
        <w:t>С собой желательно иметь всё то, что необходимо в многодневном походе с ночлегами в палатках и под открытым небом: кружку, миску, ложку, фляжку (пластиковую бутылку для воды), плащ-накидку, сменные носки, удобную (разношенную обувь), коврик и легкое одеяло или спальник, клеенку, куртку или свитер на случай холодной погоды. Из продуктов можно взять с собой немного орехов, сухофруктов, сухое галетное печенье, сухари, хлеб. Собираясь в крестный ход, укладывая вещи, которые напоминают об отдыхе на природе, необходимо еще находясь дома, настраивать себя на то, что это не турпоход, не отдых, где можно будет «расслабиться». Надо готовить себя на битву, на бой со своими страстями.</w:t>
      </w:r>
    </w:p>
    <w:p w:rsidR="006A0D90" w:rsidRPr="00BF3655" w:rsidRDefault="006A0D90" w:rsidP="006A0D90">
      <w:pPr>
        <w:jc w:val="both"/>
        <w:rPr>
          <w:rFonts w:ascii="Times New Roman" w:hAnsi="Times New Roman" w:cs="Times New Roman"/>
          <w:sz w:val="28"/>
          <w:szCs w:val="28"/>
        </w:rPr>
      </w:pPr>
    </w:p>
    <w:p w:rsidR="006A0D90" w:rsidRPr="00BF3655" w:rsidRDefault="006A0D90" w:rsidP="006A0D90">
      <w:pPr>
        <w:jc w:val="both"/>
        <w:rPr>
          <w:rFonts w:ascii="Times New Roman" w:hAnsi="Times New Roman" w:cs="Times New Roman"/>
          <w:sz w:val="28"/>
          <w:szCs w:val="28"/>
        </w:rPr>
      </w:pPr>
      <w:r w:rsidRPr="00BF3655">
        <w:rPr>
          <w:rFonts w:ascii="Times New Roman" w:hAnsi="Times New Roman" w:cs="Times New Roman"/>
          <w:sz w:val="28"/>
          <w:szCs w:val="28"/>
        </w:rPr>
        <w:t xml:space="preserve">Дополнительную информацию для подготовки к Крестному ходу можно почерпнуть из воспоминания участницы </w:t>
      </w:r>
      <w:proofErr w:type="spellStart"/>
      <w:r w:rsidRPr="00BF3655">
        <w:rPr>
          <w:rFonts w:ascii="Times New Roman" w:hAnsi="Times New Roman" w:cs="Times New Roman"/>
          <w:sz w:val="28"/>
          <w:szCs w:val="28"/>
        </w:rPr>
        <w:t>Почаевского</w:t>
      </w:r>
      <w:proofErr w:type="spellEnd"/>
      <w:r w:rsidRPr="00BF3655">
        <w:rPr>
          <w:rFonts w:ascii="Times New Roman" w:hAnsi="Times New Roman" w:cs="Times New Roman"/>
          <w:sz w:val="28"/>
          <w:szCs w:val="28"/>
        </w:rPr>
        <w:t xml:space="preserve"> Крестного хода: www.pochaevlavra.org (Крестный ход в </w:t>
      </w:r>
      <w:proofErr w:type="spellStart"/>
      <w:r w:rsidRPr="00BF3655">
        <w:rPr>
          <w:rFonts w:ascii="Times New Roman" w:hAnsi="Times New Roman" w:cs="Times New Roman"/>
          <w:sz w:val="28"/>
          <w:szCs w:val="28"/>
        </w:rPr>
        <w:t>Почаев</w:t>
      </w:r>
      <w:proofErr w:type="spellEnd"/>
      <w:r w:rsidRPr="00BF3655">
        <w:rPr>
          <w:rFonts w:ascii="Times New Roman" w:hAnsi="Times New Roman" w:cs="Times New Roman"/>
          <w:sz w:val="28"/>
          <w:szCs w:val="28"/>
        </w:rPr>
        <w:t>).</w:t>
      </w:r>
    </w:p>
    <w:p w:rsidR="005C3F9D" w:rsidRDefault="005C3F9D">
      <w:bookmarkStart w:id="0" w:name="_GoBack"/>
      <w:bookmarkEnd w:id="0"/>
    </w:p>
    <w:sectPr w:rsidR="005C3F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D90"/>
    <w:rsid w:val="005C3F9D"/>
    <w:rsid w:val="006A0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9EB8AD-690D-4983-852E-F9D55A41E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D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2022-06-14T13:21:00Z</dcterms:created>
  <dcterms:modified xsi:type="dcterms:W3CDTF">2022-06-14T13:22:00Z</dcterms:modified>
</cp:coreProperties>
</file>